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B0" w:rsidRDefault="000E3FB0" w:rsidP="000E3FB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B0" w:rsidRDefault="000E3FB0" w:rsidP="000E3F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ПОСТАНОВЛЕНИЕ</w:t>
      </w:r>
    </w:p>
    <w:p w:rsidR="000E3FB0" w:rsidRDefault="000E3FB0" w:rsidP="000E3FB0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АДМИНИСТРАЦИИ  СЕЛЬСКОГО  ПОСЕЛЕНИЯ  СТОРОЖЕВСКОЙ СЕЛЬСОВЕТ</w:t>
      </w:r>
    </w:p>
    <w:p w:rsidR="000E3FB0" w:rsidRDefault="000E3FB0" w:rsidP="000E3F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УСМАНСКОГО  МУНИЦИПАЛЬНОГО  РАЙОНА  ЛИПЕЦКОЙ  ОБЛАСТИ </w:t>
      </w:r>
    </w:p>
    <w:p w:rsidR="000E3FB0" w:rsidRDefault="000E3FB0" w:rsidP="000E3F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 ФЕДЕРАЦИИ</w:t>
      </w:r>
    </w:p>
    <w:p w:rsidR="000E3FB0" w:rsidRDefault="000E3FB0" w:rsidP="000E3FB0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Сторожевое</w:t>
      </w:r>
    </w:p>
    <w:p w:rsidR="000E3FB0" w:rsidRDefault="000E3FB0" w:rsidP="000E3FB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«06»  декабря  2017г.                   </w:t>
      </w:r>
      <w:r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                              № 154</w:t>
      </w:r>
    </w:p>
    <w:p w:rsidR="000E3FB0" w:rsidRDefault="000E3FB0" w:rsidP="000E3FB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комплексного развития социальной  инфраструктуры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Сторожевской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Липецкой области Российской Федерации  на 2017-</w:t>
      </w:r>
      <w:r>
        <w:rPr>
          <w:rFonts w:ascii="Times New Roman" w:hAnsi="Times New Roman"/>
          <w:color w:val="000000"/>
          <w:sz w:val="28"/>
          <w:szCs w:val="28"/>
        </w:rPr>
        <w:t>2032 годы.</w:t>
      </w:r>
    </w:p>
    <w:p w:rsidR="000E3FB0" w:rsidRDefault="000E3FB0" w:rsidP="000E3FB0">
      <w:pPr>
        <w:pStyle w:val="ConsPlusNormal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с </w:t>
      </w:r>
      <w:r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Times New Roman" w:hAnsi="Times New Roman"/>
          <w:sz w:val="28"/>
          <w:szCs w:val="28"/>
        </w:rPr>
        <w:t xml:space="preserve">,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Сторожевской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Сторожевской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  <w:proofErr w:type="gramEnd"/>
    </w:p>
    <w:p w:rsidR="000E3FB0" w:rsidRDefault="000E3FB0" w:rsidP="000E3FB0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E3FB0" w:rsidRDefault="000E3FB0" w:rsidP="000E3F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социальной инфраструктуры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Сторожевской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  на 2017-</w:t>
      </w:r>
      <w:r>
        <w:rPr>
          <w:rFonts w:ascii="Times New Roman" w:hAnsi="Times New Roman"/>
          <w:color w:val="000000"/>
          <w:sz w:val="28"/>
          <w:szCs w:val="28"/>
        </w:rPr>
        <w:t>2032 годы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E3FB0" w:rsidRDefault="000E3FB0" w:rsidP="000E3F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обнародованию и опубликованию на сайте поселения в сети Интернет.</w:t>
      </w:r>
    </w:p>
    <w:p w:rsidR="000E3FB0" w:rsidRDefault="000E3FB0" w:rsidP="000E3FB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3FB0" w:rsidRDefault="000E3FB0" w:rsidP="000E3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 поселе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ния</w:t>
      </w:r>
    </w:p>
    <w:p w:rsidR="000E3FB0" w:rsidRDefault="000E3FB0" w:rsidP="000E3F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Р.К. Карпова</w:t>
      </w:r>
    </w:p>
    <w:p w:rsidR="000E3FB0" w:rsidRDefault="000E3FB0" w:rsidP="000E3FB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«Утверждено» </w:t>
      </w:r>
    </w:p>
    <w:p w:rsidR="000E3FB0" w:rsidRDefault="000E3FB0" w:rsidP="000E3FB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0E3FB0" w:rsidRDefault="000E3FB0" w:rsidP="000E3FB0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Сторожевской</w:t>
      </w:r>
      <w:proofErr w:type="spellEnd"/>
      <w:r>
        <w:rPr>
          <w:rFonts w:ascii="Times New Roman" w:hAnsi="Times New Roman"/>
        </w:rPr>
        <w:t xml:space="preserve"> сельсовет</w:t>
      </w:r>
    </w:p>
    <w:p w:rsidR="000E3FB0" w:rsidRDefault="000E3FB0" w:rsidP="000E3FB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06.12.2017г. № 154</w:t>
      </w:r>
    </w:p>
    <w:p w:rsidR="000E3FB0" w:rsidRDefault="000E3FB0" w:rsidP="000E3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0E3FB0" w:rsidRDefault="000E3FB0" w:rsidP="000E3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0E3FB0" w:rsidRDefault="000E3FB0" w:rsidP="000E3F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0E3FB0" w:rsidRDefault="000E3FB0" w:rsidP="000E3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– 2032  годы</w:t>
      </w: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627"/>
      </w:tblGrid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Липецкой области Российской Федерации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 – 2032 годы (далее - Программа).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Федерации.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0E3FB0" w:rsidRDefault="000E3F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Липецкой области Российской Федерации утвержденный решением совета депутатов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43/94 от 11.12.2012г.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0E3FB0" w:rsidRDefault="000E3F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Липецкой области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утвержденные решением совета депутатов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Липецкой области Российской Федерации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№ 33/52 от 01.09.2017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программы и его местонахождение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Липецкой области Российской Федерации;</w:t>
            </w:r>
          </w:p>
          <w:p w:rsidR="000E3FB0" w:rsidRDefault="000E3F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расположенная по адресу: 399344, Липецкая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Усманский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 Сторожевое, ул. Школьная, д. 54.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разработчика программы и его местонахождение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Липецкой области Российской Федерации;</w:t>
            </w:r>
          </w:p>
          <w:p w:rsidR="000E3FB0" w:rsidRDefault="000E3FB0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расположенная по адресу: 399344, Липецкая область,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 Сторожевое, ул. Школьная, д. 54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сбалансированное, перспективное развитие социальной инфраструктуры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Липецкой области Российской Федерации;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Достижение целевых показателей обеспеченности объектами социальной инфраструктуры.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 объектов социальной инфраструктуры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Проектирование, строительство и реконструкция объектов социальной инфраструктуры: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м.;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мест.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 – 2032 годы, в 1 этап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объектов в области физической культуры и массового спорта  определяется бюджетом поселения;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в области культуры -  определяется бюджетом поселения 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0E3FB0" w:rsidTr="000E3F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0E3FB0" w:rsidRDefault="000E3FB0" w:rsidP="000E3F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Социально-экономическое состояние. 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10253.3 га;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заработная плата - </w:t>
      </w:r>
      <w:r>
        <w:rPr>
          <w:rFonts w:ascii="Times New Roman" w:hAnsi="Times New Roman" w:cs="Times New Roman"/>
          <w:color w:val="000000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бюджета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 в течение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срока реализации Программы: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спорта; 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культуры  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 социальной инфраструктуры. Сложившийся уровень обеспеченности объектов.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объектов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/площадь):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13094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волейбольная площадка -1 на 144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хоккейная коробка-3 на 1250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футбольное поле -1 на 10000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полоса препятствий -4 на 500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гимнастический городок -4 на 1200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культуры  в качестве мест массового отдыха населения используется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МБУК «Досуговый центр администрации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который входят: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 культуры, 2 клуба и 3 библиотеки  (330   мест). 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сфере культуры должны стать мероприятия по проведению реконструкции досугового центра.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 с каждым годом 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прекрасных и интересных мероприятий. В поселении проходит «День села». Библиотеки также принимает самое активное участие во всех массовых мероприятиях.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расчетных показателей обеспеченности):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___ ( ___ %);</w:t>
      </w:r>
      <w:proofErr w:type="gramEnd"/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культуры – 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Прогнозируемый спрос на услуги социальной инфраструктуры.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(на 01.01.2017 г.) - </w:t>
      </w:r>
      <w:r>
        <w:rPr>
          <w:rFonts w:ascii="Times New Roman" w:hAnsi="Times New Roman" w:cs="Times New Roman"/>
          <w:color w:val="000000"/>
          <w:sz w:val="28"/>
          <w:szCs w:val="28"/>
        </w:rPr>
        <w:t>2675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изменения численности населения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371"/>
        <w:gridCol w:w="1370"/>
        <w:gridCol w:w="1370"/>
        <w:gridCol w:w="1370"/>
        <w:gridCol w:w="1370"/>
        <w:gridCol w:w="1534"/>
      </w:tblGrid>
      <w:tr w:rsidR="000E3FB0" w:rsidTr="000E3FB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0E3FB0" w:rsidTr="000E3FB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</w:tbl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381"/>
        <w:gridCol w:w="1382"/>
        <w:gridCol w:w="1382"/>
        <w:gridCol w:w="1382"/>
        <w:gridCol w:w="1382"/>
        <w:gridCol w:w="1534"/>
      </w:tblGrid>
      <w:tr w:rsidR="000E3FB0" w:rsidTr="000E3FB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0E3FB0" w:rsidTr="000E3FB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</w:t>
            </w:r>
          </w:p>
        </w:tc>
      </w:tr>
    </w:tbl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для достижения расчетных показателей обеспеченности размеры объектов: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>
        <w:rPr>
          <w:rFonts w:ascii="Times New Roman" w:hAnsi="Times New Roman" w:cs="Times New Roman"/>
          <w:color w:val="000000"/>
          <w:sz w:val="28"/>
          <w:szCs w:val="28"/>
        </w:rPr>
        <w:t>13094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– 330</w:t>
      </w:r>
      <w:r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Указы Президента Российской Федерации;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программы по развитию культуры и спорта.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0E3FB0" w:rsidRDefault="000E3FB0" w:rsidP="000E3FB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288"/>
        <w:gridCol w:w="2392"/>
        <w:gridCol w:w="1701"/>
        <w:gridCol w:w="1277"/>
      </w:tblGrid>
      <w:tr w:rsidR="000E3FB0" w:rsidTr="000E3FB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в плановом периоде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E3FB0" w:rsidTr="000E3FB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FB0" w:rsidTr="000E3FB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0E3FB0" w:rsidTr="000E3FB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волейбольная площадка </w:t>
            </w: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хоккейные  коробки: </w:t>
            </w: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футбольное поле </w:t>
            </w: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полоса препятствий </w:t>
            </w: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гимнастический городок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Сторожевое</w:t>
            </w: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Сторожевое, с. Красное, пос. с-за «Ударник»;</w:t>
            </w: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Сторожевое; </w:t>
            </w: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д. Терновка,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Сторожевое, с. Красное, пос. с-за «Ударник»; </w:t>
            </w: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B0" w:rsidRDefault="000E3FB0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Терновка,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Сторожевое, с. Красное, пос. с-за «Ударник»;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м, 100 посещений в смену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</w:tr>
      <w:tr w:rsidR="000E3FB0" w:rsidTr="000E3FB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0E3FB0" w:rsidTr="000E3FB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досугового центра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Сторожевое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</w:p>
        </w:tc>
      </w:tr>
    </w:tbl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Оценка объемов и источников финансирования мероприятий (инвестиционных проектов) по проектированию, строительству 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реконструкции объектов социальной инфраструктуры.</w:t>
      </w: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4253"/>
      </w:tblGrid>
      <w:tr w:rsidR="000E3FB0" w:rsidTr="000E3F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0E3FB0" w:rsidTr="000E3FB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0E3FB0" w:rsidTr="000E3FB0">
        <w:trPr>
          <w:trHeight w:val="1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спортзала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0E3FB0" w:rsidTr="000E3FB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0E3FB0" w:rsidTr="000E3FB0">
        <w:trPr>
          <w:trHeight w:val="1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досугового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определяется бюджетом сельского поселения</w:t>
            </w:r>
          </w:p>
        </w:tc>
      </w:tr>
    </w:tbl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Целевые индикаторы.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услуг, оказываемый населению в областях образования, здравоохранения, физической культуры и массового спорта, культуры по годам.</w:t>
      </w:r>
    </w:p>
    <w:p w:rsidR="000E3FB0" w:rsidRDefault="000E3FB0" w:rsidP="000E3F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052"/>
        <w:gridCol w:w="1471"/>
        <w:gridCol w:w="891"/>
        <w:gridCol w:w="891"/>
        <w:gridCol w:w="891"/>
        <w:gridCol w:w="891"/>
        <w:gridCol w:w="891"/>
        <w:gridCol w:w="1534"/>
      </w:tblGrid>
      <w:tr w:rsidR="000E3FB0" w:rsidTr="000E3FB0">
        <w:trPr>
          <w:trHeight w:val="41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качества услуги</w:t>
            </w:r>
          </w:p>
        </w:tc>
      </w:tr>
      <w:tr w:rsidR="000E3FB0" w:rsidTr="000E3FB0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(2032 год)</w:t>
            </w:r>
          </w:p>
        </w:tc>
      </w:tr>
      <w:tr w:rsidR="000E3FB0" w:rsidTr="000E3F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физической культуры и массового спорта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FB0" w:rsidTr="000E3F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лауреатов региональных соревнований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3FB0" w:rsidTr="000E3F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спортивных формирований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3FB0" w:rsidTr="000E3F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услуг в области культуры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FB0" w:rsidTr="000E3F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E3FB0" w:rsidTr="000E3F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клубных формирований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3FB0" w:rsidTr="000E3F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киносеансов на закрытой площадке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эффективности мероприятий, включенных в программу.</w:t>
      </w: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2"/>
        <w:gridCol w:w="2446"/>
        <w:gridCol w:w="992"/>
        <w:gridCol w:w="992"/>
        <w:gridCol w:w="991"/>
        <w:gridCol w:w="991"/>
        <w:gridCol w:w="991"/>
        <w:gridCol w:w="992"/>
        <w:gridCol w:w="997"/>
      </w:tblGrid>
      <w:tr w:rsidR="000E3FB0" w:rsidTr="000E3FB0"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0E3FB0" w:rsidTr="000E3FB0"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(2032год)</w:t>
            </w:r>
          </w:p>
        </w:tc>
      </w:tr>
      <w:tr w:rsidR="000E3FB0" w:rsidTr="000E3FB0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E3FB0" w:rsidTr="000E3FB0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B0" w:rsidRDefault="000E3FB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0E3FB0" w:rsidRDefault="000E3FB0" w:rsidP="000E3F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E3FB0" w:rsidRDefault="000E3FB0" w:rsidP="000E3FB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0E3FB0" w:rsidRDefault="000E3FB0" w:rsidP="000E3FB0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E3FB0" w:rsidRDefault="000E3FB0" w:rsidP="000E3FB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направленных на обеспечение развития социальной инфраструктуры.</w:t>
      </w:r>
    </w:p>
    <w:p w:rsidR="008A66C8" w:rsidRDefault="008A66C8"/>
    <w:sectPr w:rsidR="008A66C8" w:rsidSect="000E3FB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200A"/>
    <w:multiLevelType w:val="multilevel"/>
    <w:tmpl w:val="C7F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B0"/>
    <w:rsid w:val="000E3FB0"/>
    <w:rsid w:val="008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F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E3FB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E3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E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3F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E3FB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E3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E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2017-12-18T08:26:00Z</dcterms:created>
  <dcterms:modified xsi:type="dcterms:W3CDTF">2017-12-18T08:30:00Z</dcterms:modified>
</cp:coreProperties>
</file>